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9D89" w14:textId="7F136898" w:rsidR="007A45AE" w:rsidRPr="00B16802" w:rsidRDefault="00846831">
      <w:pPr>
        <w:rPr>
          <w:rFonts w:ascii="Arial" w:hAnsi="Arial" w:cs="Arial"/>
          <w:b/>
          <w:bCs/>
        </w:rPr>
      </w:pPr>
      <w:r w:rsidRPr="00B16802">
        <w:rPr>
          <w:rFonts w:ascii="Arial" w:hAnsi="Arial" w:cs="Arial"/>
          <w:b/>
          <w:bCs/>
        </w:rPr>
        <w:t>Appendix C</w:t>
      </w:r>
    </w:p>
    <w:p w14:paraId="6CE712C3" w14:textId="77C7B45A" w:rsidR="000F3509" w:rsidRPr="00B16802" w:rsidRDefault="000F3509" w:rsidP="000F3509">
      <w:pPr>
        <w:spacing w:after="0" w:line="300" w:lineRule="atLeast"/>
        <w:rPr>
          <w:rFonts w:ascii="Arial" w:eastAsia="Times New Roman" w:hAnsi="Arial" w:cs="Arial"/>
          <w:kern w:val="0"/>
          <w:sz w:val="21"/>
          <w:szCs w:val="21"/>
          <w:lang w:eastAsia="en-GB"/>
          <w14:ligatures w14:val="none"/>
        </w:rPr>
      </w:pPr>
      <w:r w:rsidRPr="00B16802">
        <w:rPr>
          <w:rFonts w:ascii="Arial" w:eastAsia="Times New Roman" w:hAnsi="Arial" w:cs="Arial"/>
          <w:kern w:val="0"/>
          <w:sz w:val="21"/>
          <w:szCs w:val="21"/>
          <w:highlight w:val="yellow"/>
          <w:lang w:eastAsia="en-GB"/>
          <w14:ligatures w14:val="none"/>
        </w:rPr>
        <w:t>This appendix is provided for use only where an Academy is required to procure AAIs directly. In normal circumstances, emergency anaphylaxis kits and replacement devices will be supplied through the Trust-approved external provider.</w:t>
      </w:r>
    </w:p>
    <w:p w14:paraId="132072E1" w14:textId="77777777" w:rsidR="000F3509" w:rsidRPr="00B16802" w:rsidRDefault="000F3509">
      <w:pPr>
        <w:rPr>
          <w:rFonts w:ascii="Arial" w:hAnsi="Arial" w:cs="Arial"/>
          <w:b/>
          <w:bCs/>
        </w:rPr>
      </w:pPr>
    </w:p>
    <w:p w14:paraId="7597576A" w14:textId="6E5F1CA2" w:rsidR="00846831" w:rsidRPr="00B16802" w:rsidRDefault="00846831">
      <w:pPr>
        <w:rPr>
          <w:rFonts w:ascii="Arial" w:hAnsi="Arial" w:cs="Arial"/>
          <w:b/>
          <w:bCs/>
          <w:i/>
          <w:iCs/>
        </w:rPr>
      </w:pPr>
      <w:r w:rsidRPr="00B16802">
        <w:rPr>
          <w:rFonts w:ascii="Arial" w:hAnsi="Arial" w:cs="Arial"/>
          <w:b/>
          <w:bCs/>
          <w:i/>
          <w:iCs/>
        </w:rPr>
        <w:t>Template AAI request letter</w:t>
      </w:r>
    </w:p>
    <w:p w14:paraId="4733D14F" w14:textId="645B3D79" w:rsidR="00846831" w:rsidRPr="00B16802" w:rsidRDefault="00846831" w:rsidP="00846831">
      <w:pPr>
        <w:jc w:val="both"/>
        <w:rPr>
          <w:rFonts w:ascii="Arial" w:hAnsi="Arial" w:cs="Arial"/>
        </w:rPr>
      </w:pPr>
      <w:r w:rsidRPr="00B16802">
        <w:rPr>
          <w:rFonts w:ascii="Arial" w:hAnsi="Arial" w:cs="Arial"/>
        </w:rPr>
        <w:t xml:space="preserve">Following the introduction of Benedict’s Law, we wish to purchase emergency </w:t>
      </w:r>
      <w:r w:rsidRPr="00B16802">
        <w:rPr>
          <w:rFonts w:ascii="Arial" w:hAnsi="Arial" w:cs="Arial"/>
          <w:b/>
          <w:bCs/>
        </w:rPr>
        <w:t>Adrenaline Auto-injector</w:t>
      </w:r>
      <w:r w:rsidRPr="00B16802">
        <w:rPr>
          <w:rFonts w:ascii="Arial" w:hAnsi="Arial" w:cs="Arial"/>
        </w:rPr>
        <w:t xml:space="preserve"> (AAI) devices for use in our Academy. </w:t>
      </w:r>
    </w:p>
    <w:p w14:paraId="29F1B0A6" w14:textId="77777777" w:rsidR="00846831" w:rsidRPr="00B16802" w:rsidRDefault="00846831" w:rsidP="00846831">
      <w:pPr>
        <w:jc w:val="both"/>
        <w:rPr>
          <w:rFonts w:ascii="Arial" w:hAnsi="Arial" w:cs="Arial"/>
        </w:rPr>
      </w:pPr>
      <w:r w:rsidRPr="00B16802">
        <w:rPr>
          <w:rFonts w:ascii="Arial" w:hAnsi="Arial" w:cs="Arial"/>
        </w:rPr>
        <w:t xml:space="preserve">The adrenaline auto-injectors will be used in line with the manufacturer’s instructions, for the emergency treatment of anaphylaxis in accordance with the Human Medicines (Amendment) Regulations 2017. This allows schools to purchase “spare” back-up adrenaline auto-injectors for the emergency treatment of anaphylaxis. </w:t>
      </w:r>
    </w:p>
    <w:p w14:paraId="381287D4" w14:textId="77777777" w:rsidR="00846831" w:rsidRPr="00B16802" w:rsidRDefault="00846831" w:rsidP="00846831">
      <w:pPr>
        <w:jc w:val="both"/>
        <w:rPr>
          <w:rFonts w:ascii="Arial" w:hAnsi="Arial" w:cs="Arial"/>
        </w:rPr>
      </w:pPr>
      <w:r w:rsidRPr="00B16802">
        <w:rPr>
          <w:rFonts w:ascii="Arial" w:hAnsi="Arial" w:cs="Arial"/>
        </w:rPr>
        <w:t xml:space="preserve">(Further information can be found at </w:t>
      </w:r>
      <w:hyperlink r:id="rId7" w:history="1">
        <w:r w:rsidRPr="00B16802">
          <w:rPr>
            <w:rStyle w:val="Hyperlink"/>
            <w:rFonts w:ascii="Arial" w:hAnsi="Arial" w:cs="Arial"/>
          </w:rPr>
          <w:t>Allowing schools to hold spare adrenaline auto-injectors - GOV.UK</w:t>
        </w:r>
      </w:hyperlink>
      <w:r w:rsidRPr="00B16802">
        <w:rPr>
          <w:rFonts w:ascii="Arial" w:hAnsi="Arial" w:cs="Arial"/>
        </w:rPr>
        <w:t xml:space="preserve">). </w:t>
      </w:r>
    </w:p>
    <w:p w14:paraId="04BB0301" w14:textId="40D8DF02" w:rsidR="00846831" w:rsidRPr="00B16802" w:rsidRDefault="00846831" w:rsidP="00846831">
      <w:pPr>
        <w:rPr>
          <w:rFonts w:ascii="Arial" w:hAnsi="Arial" w:cs="Arial"/>
        </w:rPr>
      </w:pPr>
      <w:r w:rsidRPr="00B16802">
        <w:rPr>
          <w:rFonts w:ascii="Arial" w:hAnsi="Arial" w:cs="Arial"/>
        </w:rPr>
        <w:t xml:space="preserve">Please supply two each of the following AAI devices: </w:t>
      </w:r>
    </w:p>
    <w:tbl>
      <w:tblPr>
        <w:tblStyle w:val="TableGrid"/>
        <w:tblW w:w="0" w:type="auto"/>
        <w:tblLook w:val="04A0" w:firstRow="1" w:lastRow="0" w:firstColumn="1" w:lastColumn="0" w:noHBand="0" w:noVBand="1"/>
      </w:tblPr>
      <w:tblGrid>
        <w:gridCol w:w="2617"/>
        <w:gridCol w:w="2617"/>
      </w:tblGrid>
      <w:tr w:rsidR="00846831" w:rsidRPr="00B16802" w14:paraId="7EC8F21B" w14:textId="77777777" w:rsidTr="001105BC">
        <w:tc>
          <w:tcPr>
            <w:tcW w:w="2617" w:type="dxa"/>
          </w:tcPr>
          <w:p w14:paraId="156EF975" w14:textId="77777777" w:rsidR="00846831" w:rsidRPr="00B16802" w:rsidRDefault="00846831" w:rsidP="001105BC">
            <w:pPr>
              <w:rPr>
                <w:rFonts w:ascii="Arial" w:hAnsi="Arial" w:cs="Arial"/>
              </w:rPr>
            </w:pPr>
            <w:r w:rsidRPr="00B16802">
              <w:rPr>
                <w:rFonts w:ascii="Arial" w:hAnsi="Arial" w:cs="Arial"/>
              </w:rPr>
              <w:t>Brand Name</w:t>
            </w:r>
          </w:p>
        </w:tc>
        <w:tc>
          <w:tcPr>
            <w:tcW w:w="2617" w:type="dxa"/>
          </w:tcPr>
          <w:p w14:paraId="5D64CAE7" w14:textId="77777777" w:rsidR="00846831" w:rsidRPr="00B16802" w:rsidRDefault="00846831" w:rsidP="001105BC">
            <w:pPr>
              <w:rPr>
                <w:rFonts w:ascii="Arial" w:hAnsi="Arial" w:cs="Arial"/>
              </w:rPr>
            </w:pPr>
            <w:r w:rsidRPr="00B16802">
              <w:rPr>
                <w:rFonts w:ascii="Arial" w:hAnsi="Arial" w:cs="Arial"/>
              </w:rPr>
              <w:t>Dose</w:t>
            </w:r>
          </w:p>
        </w:tc>
      </w:tr>
      <w:tr w:rsidR="00846831" w:rsidRPr="00B16802" w14:paraId="7D03BE3B" w14:textId="77777777" w:rsidTr="001105BC">
        <w:tc>
          <w:tcPr>
            <w:tcW w:w="2617" w:type="dxa"/>
          </w:tcPr>
          <w:p w14:paraId="7DFCEF1D" w14:textId="7FDE2E0B" w:rsidR="00846831" w:rsidRPr="00B16802" w:rsidRDefault="00846831" w:rsidP="001105BC">
            <w:pPr>
              <w:rPr>
                <w:rFonts w:ascii="Arial" w:hAnsi="Arial" w:cs="Arial"/>
              </w:rPr>
            </w:pPr>
          </w:p>
        </w:tc>
        <w:tc>
          <w:tcPr>
            <w:tcW w:w="2617" w:type="dxa"/>
          </w:tcPr>
          <w:p w14:paraId="6B6E2EBB" w14:textId="26F42939" w:rsidR="00846831" w:rsidRPr="00B16802" w:rsidRDefault="00846831" w:rsidP="001105BC">
            <w:pPr>
              <w:rPr>
                <w:rFonts w:ascii="Arial" w:hAnsi="Arial" w:cs="Arial"/>
              </w:rPr>
            </w:pPr>
          </w:p>
        </w:tc>
      </w:tr>
      <w:tr w:rsidR="00846831" w:rsidRPr="00B16802" w14:paraId="31B64FB9" w14:textId="77777777" w:rsidTr="001105BC">
        <w:tc>
          <w:tcPr>
            <w:tcW w:w="2617" w:type="dxa"/>
          </w:tcPr>
          <w:p w14:paraId="13A5D8D8" w14:textId="5C2AD9FF" w:rsidR="00846831" w:rsidRPr="00B16802" w:rsidRDefault="00846831" w:rsidP="001105BC">
            <w:pPr>
              <w:rPr>
                <w:rFonts w:ascii="Arial" w:hAnsi="Arial" w:cs="Arial"/>
              </w:rPr>
            </w:pPr>
          </w:p>
        </w:tc>
        <w:tc>
          <w:tcPr>
            <w:tcW w:w="2617" w:type="dxa"/>
          </w:tcPr>
          <w:p w14:paraId="5C7C903D" w14:textId="099960FF" w:rsidR="00846831" w:rsidRPr="00B16802" w:rsidRDefault="00846831" w:rsidP="001105BC">
            <w:pPr>
              <w:rPr>
                <w:rFonts w:ascii="Arial" w:hAnsi="Arial" w:cs="Arial"/>
              </w:rPr>
            </w:pPr>
          </w:p>
        </w:tc>
      </w:tr>
      <w:tr w:rsidR="00846831" w:rsidRPr="00B16802" w14:paraId="3D150FC8" w14:textId="77777777" w:rsidTr="001105BC">
        <w:tc>
          <w:tcPr>
            <w:tcW w:w="2617" w:type="dxa"/>
          </w:tcPr>
          <w:p w14:paraId="3E03413A" w14:textId="77777777" w:rsidR="00846831" w:rsidRPr="00B16802" w:rsidRDefault="00846831" w:rsidP="001105BC">
            <w:pPr>
              <w:rPr>
                <w:rFonts w:ascii="Arial" w:hAnsi="Arial" w:cs="Arial"/>
              </w:rPr>
            </w:pPr>
          </w:p>
        </w:tc>
        <w:tc>
          <w:tcPr>
            <w:tcW w:w="2617" w:type="dxa"/>
          </w:tcPr>
          <w:p w14:paraId="1DEA358C" w14:textId="77777777" w:rsidR="00846831" w:rsidRPr="00B16802" w:rsidRDefault="00846831" w:rsidP="001105BC">
            <w:pPr>
              <w:rPr>
                <w:rFonts w:ascii="Arial" w:hAnsi="Arial" w:cs="Arial"/>
              </w:rPr>
            </w:pPr>
          </w:p>
        </w:tc>
      </w:tr>
      <w:tr w:rsidR="00846831" w:rsidRPr="00B16802" w14:paraId="1D78ADE5" w14:textId="77777777" w:rsidTr="001105BC">
        <w:tc>
          <w:tcPr>
            <w:tcW w:w="2617" w:type="dxa"/>
          </w:tcPr>
          <w:p w14:paraId="4286C03A" w14:textId="77777777" w:rsidR="00846831" w:rsidRPr="00B16802" w:rsidRDefault="00846831" w:rsidP="001105BC">
            <w:pPr>
              <w:rPr>
                <w:rFonts w:ascii="Arial" w:hAnsi="Arial" w:cs="Arial"/>
              </w:rPr>
            </w:pPr>
          </w:p>
        </w:tc>
        <w:tc>
          <w:tcPr>
            <w:tcW w:w="2617" w:type="dxa"/>
          </w:tcPr>
          <w:p w14:paraId="4689546D" w14:textId="77777777" w:rsidR="00846831" w:rsidRPr="00B16802" w:rsidRDefault="00846831" w:rsidP="001105BC">
            <w:pPr>
              <w:rPr>
                <w:rFonts w:ascii="Arial" w:hAnsi="Arial" w:cs="Arial"/>
              </w:rPr>
            </w:pPr>
          </w:p>
        </w:tc>
      </w:tr>
    </w:tbl>
    <w:p w14:paraId="3A1D44B3" w14:textId="77777777" w:rsidR="00846831" w:rsidRPr="00B16802" w:rsidRDefault="00846831" w:rsidP="00846831">
      <w:pPr>
        <w:rPr>
          <w:rFonts w:ascii="Arial" w:hAnsi="Arial" w:cs="Arial"/>
        </w:rPr>
      </w:pPr>
    </w:p>
    <w:p w14:paraId="54E4C8B0" w14:textId="77777777" w:rsidR="00846831" w:rsidRPr="00B16802" w:rsidRDefault="00846831" w:rsidP="00846831">
      <w:pPr>
        <w:rPr>
          <w:rFonts w:ascii="Arial" w:hAnsi="Arial" w:cs="Arial"/>
          <w:b/>
          <w:bCs/>
          <w:i/>
          <w:iCs/>
        </w:rPr>
      </w:pPr>
    </w:p>
    <w:p w14:paraId="464883E7" w14:textId="45E09C9B" w:rsidR="00846831" w:rsidRPr="00B16802" w:rsidRDefault="00846831" w:rsidP="00846831">
      <w:pPr>
        <w:rPr>
          <w:rFonts w:ascii="Arial" w:hAnsi="Arial" w:cs="Arial"/>
          <w:b/>
          <w:bCs/>
          <w:i/>
          <w:iCs/>
        </w:rPr>
      </w:pPr>
      <w:r w:rsidRPr="00B16802">
        <w:rPr>
          <w:rFonts w:ascii="Arial" w:hAnsi="Arial" w:cs="Arial"/>
          <w:b/>
          <w:bCs/>
          <w:i/>
          <w:iCs/>
        </w:rPr>
        <w:t>If you need asthma inhalers, this section can be added.</w:t>
      </w:r>
    </w:p>
    <w:p w14:paraId="0FE14E5D" w14:textId="602DFBF6" w:rsidR="00846831" w:rsidRPr="00B16802" w:rsidRDefault="00846831" w:rsidP="00846831">
      <w:pPr>
        <w:rPr>
          <w:rFonts w:ascii="Arial" w:hAnsi="Arial" w:cs="Arial"/>
        </w:rPr>
      </w:pPr>
      <w:r w:rsidRPr="00B16802">
        <w:rPr>
          <w:rFonts w:ascii="Arial" w:hAnsi="Arial" w:cs="Arial"/>
        </w:rPr>
        <w:t xml:space="preserve">In addition; we would like to purchase [number] </w:t>
      </w:r>
      <w:r w:rsidRPr="00B16802">
        <w:rPr>
          <w:rFonts w:ascii="Arial" w:hAnsi="Arial" w:cs="Arial"/>
          <w:b/>
          <w:bCs/>
        </w:rPr>
        <w:t>salbutamol metered dose inhaler</w:t>
      </w:r>
      <w:r w:rsidRPr="00B16802">
        <w:rPr>
          <w:rFonts w:ascii="Arial" w:hAnsi="Arial" w:cs="Arial"/>
        </w:rPr>
        <w:t xml:space="preserve"> and [number] compatible spacers, as described by the Department of Health at </w:t>
      </w:r>
      <w:hyperlink r:id="rId8" w:history="1">
        <w:r w:rsidRPr="00B16802">
          <w:rPr>
            <w:rStyle w:val="Hyperlink"/>
            <w:rFonts w:ascii="Arial" w:hAnsi="Arial" w:cs="Arial"/>
          </w:rPr>
          <w:t>Guidance on the use of emergency salbutamol inhalers in schools</w:t>
        </w:r>
      </w:hyperlink>
    </w:p>
    <w:p w14:paraId="4D0801A4" w14:textId="77777777" w:rsidR="00846831" w:rsidRPr="00B16802" w:rsidRDefault="00846831">
      <w:pPr>
        <w:rPr>
          <w:rFonts w:ascii="Arial" w:hAnsi="Arial" w:cs="Arial"/>
        </w:rPr>
      </w:pPr>
    </w:p>
    <w:sectPr w:rsidR="00846831" w:rsidRPr="00B16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31"/>
    <w:rsid w:val="000F3509"/>
    <w:rsid w:val="00254A22"/>
    <w:rsid w:val="00307776"/>
    <w:rsid w:val="00334408"/>
    <w:rsid w:val="00412676"/>
    <w:rsid w:val="007A45AE"/>
    <w:rsid w:val="00846831"/>
    <w:rsid w:val="008C39DD"/>
    <w:rsid w:val="0099288F"/>
    <w:rsid w:val="00A56AC9"/>
    <w:rsid w:val="00A819E3"/>
    <w:rsid w:val="00AD670E"/>
    <w:rsid w:val="00B16802"/>
    <w:rsid w:val="00DC5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AFB"/>
  <w15:chartTrackingRefBased/>
  <w15:docId w15:val="{B48A7578-C441-4B6E-97C9-D6E39EDA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831"/>
    <w:rPr>
      <w:rFonts w:eastAsiaTheme="majorEastAsia" w:cstheme="majorBidi"/>
      <w:color w:val="272727" w:themeColor="text1" w:themeTint="D8"/>
    </w:rPr>
  </w:style>
  <w:style w:type="paragraph" w:styleId="Title">
    <w:name w:val="Title"/>
    <w:basedOn w:val="Normal"/>
    <w:next w:val="Normal"/>
    <w:link w:val="TitleChar"/>
    <w:uiPriority w:val="10"/>
    <w:qFormat/>
    <w:rsid w:val="00846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831"/>
    <w:pPr>
      <w:spacing w:before="160"/>
      <w:jc w:val="center"/>
    </w:pPr>
    <w:rPr>
      <w:i/>
      <w:iCs/>
      <w:color w:val="404040" w:themeColor="text1" w:themeTint="BF"/>
    </w:rPr>
  </w:style>
  <w:style w:type="character" w:customStyle="1" w:styleId="QuoteChar">
    <w:name w:val="Quote Char"/>
    <w:basedOn w:val="DefaultParagraphFont"/>
    <w:link w:val="Quote"/>
    <w:uiPriority w:val="29"/>
    <w:rsid w:val="00846831"/>
    <w:rPr>
      <w:i/>
      <w:iCs/>
      <w:color w:val="404040" w:themeColor="text1" w:themeTint="BF"/>
    </w:rPr>
  </w:style>
  <w:style w:type="paragraph" w:styleId="ListParagraph">
    <w:name w:val="List Paragraph"/>
    <w:basedOn w:val="Normal"/>
    <w:uiPriority w:val="34"/>
    <w:qFormat/>
    <w:rsid w:val="00846831"/>
    <w:pPr>
      <w:ind w:left="720"/>
      <w:contextualSpacing/>
    </w:pPr>
  </w:style>
  <w:style w:type="character" w:styleId="IntenseEmphasis">
    <w:name w:val="Intense Emphasis"/>
    <w:basedOn w:val="DefaultParagraphFont"/>
    <w:uiPriority w:val="21"/>
    <w:qFormat/>
    <w:rsid w:val="00846831"/>
    <w:rPr>
      <w:i/>
      <w:iCs/>
      <w:color w:val="0F4761" w:themeColor="accent1" w:themeShade="BF"/>
    </w:rPr>
  </w:style>
  <w:style w:type="paragraph" w:styleId="IntenseQuote">
    <w:name w:val="Intense Quote"/>
    <w:basedOn w:val="Normal"/>
    <w:next w:val="Normal"/>
    <w:link w:val="IntenseQuoteChar"/>
    <w:uiPriority w:val="30"/>
    <w:qFormat/>
    <w:rsid w:val="00846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831"/>
    <w:rPr>
      <w:i/>
      <w:iCs/>
      <w:color w:val="0F4761" w:themeColor="accent1" w:themeShade="BF"/>
    </w:rPr>
  </w:style>
  <w:style w:type="character" w:styleId="IntenseReference">
    <w:name w:val="Intense Reference"/>
    <w:basedOn w:val="DefaultParagraphFont"/>
    <w:uiPriority w:val="32"/>
    <w:qFormat/>
    <w:rsid w:val="00846831"/>
    <w:rPr>
      <w:b/>
      <w:bCs/>
      <w:smallCaps/>
      <w:color w:val="0F4761" w:themeColor="accent1" w:themeShade="BF"/>
      <w:spacing w:val="5"/>
    </w:rPr>
  </w:style>
  <w:style w:type="character" w:styleId="Hyperlink">
    <w:name w:val="Hyperlink"/>
    <w:basedOn w:val="DefaultParagraphFont"/>
    <w:uiPriority w:val="99"/>
    <w:unhideWhenUsed/>
    <w:rsid w:val="00846831"/>
    <w:rPr>
      <w:color w:val="467886" w:themeColor="hyperlink"/>
      <w:u w:val="single"/>
    </w:rPr>
  </w:style>
  <w:style w:type="table" w:styleId="TableGrid">
    <w:name w:val="Table Grid"/>
    <w:basedOn w:val="TableNormal"/>
    <w:uiPriority w:val="39"/>
    <w:rsid w:val="0084683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39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565222">
      <w:bodyDiv w:val="1"/>
      <w:marLeft w:val="0"/>
      <w:marRight w:val="0"/>
      <w:marTop w:val="0"/>
      <w:marBottom w:val="0"/>
      <w:divBdr>
        <w:top w:val="none" w:sz="0" w:space="0" w:color="auto"/>
        <w:left w:val="none" w:sz="0" w:space="0" w:color="auto"/>
        <w:bottom w:val="none" w:sz="0" w:space="0" w:color="auto"/>
        <w:right w:val="none" w:sz="0" w:space="0" w:color="auto"/>
      </w:divBdr>
      <w:divsChild>
        <w:div w:id="950815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74eb55ed915d3c7d528f98/emergency_inhalers_in_schools.pdf" TargetMode="External"/><Relationship Id="rId3" Type="http://schemas.openxmlformats.org/officeDocument/2006/relationships/customXml" Target="../customXml/item3.xml"/><Relationship Id="rId7" Type="http://schemas.openxmlformats.org/officeDocument/2006/relationships/hyperlink" Target="https://www.gov.uk/government/consultations/allowing-schools-to-hold-spare-adrenaline-auto-inject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F3358B9C4D2642AB23AF690A0AA98B" ma:contentTypeVersion="3" ma:contentTypeDescription="Create a new document." ma:contentTypeScope="" ma:versionID="f9cade85e388a0ebfd5efbfabba96266">
  <xsd:schema xmlns:xsd="http://www.w3.org/2001/XMLSchema" xmlns:xs="http://www.w3.org/2001/XMLSchema" xmlns:p="http://schemas.microsoft.com/office/2006/metadata/properties" xmlns:ns2="47de1a07-af81-4c1a-b8dd-424949faa4c8" targetNamespace="http://schemas.microsoft.com/office/2006/metadata/properties" ma:root="true" ma:fieldsID="a03f5a13e23ef88a8e936f159809d340" ns2:_="">
    <xsd:import namespace="47de1a07-af81-4c1a-b8dd-424949faa4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e1a07-af81-4c1a-b8dd-424949faa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D6694-BEC7-406E-BA5E-349278DBF6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0287A-F351-4B3C-8C3D-96B05BDC1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e1a07-af81-4c1a-b8dd-424949faa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245A5-9E75-449E-AB17-115BE2DC7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Lenton</dc:creator>
  <cp:keywords/>
  <dc:description/>
  <cp:lastModifiedBy>Alison Ascough</cp:lastModifiedBy>
  <cp:revision>3</cp:revision>
  <dcterms:created xsi:type="dcterms:W3CDTF">2026-07-16T14:39:00Z</dcterms:created>
  <dcterms:modified xsi:type="dcterms:W3CDTF">2026-07-16T14:40:00Z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0x0101006DF3358B9C4D2642AB23AF690A0AA98B</vt:lpwstr>
  </property>
</Properties>
</file>